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E7B35" w14:textId="2AB8B1A6" w:rsidR="00F1245A" w:rsidRPr="00F1245A" w:rsidRDefault="00F1245A" w:rsidP="00F1245A">
      <w:pPr>
        <w:spacing w:after="0" w:line="240" w:lineRule="auto"/>
        <w:rPr>
          <w:rFonts w:ascii="Times New Roman" w:eastAsia="Times New Roman" w:hAnsi="Times New Roman" w:cs="Times New Roman"/>
          <w:b/>
          <w:bCs/>
          <w:kern w:val="0"/>
          <w:sz w:val="24"/>
          <w:szCs w:val="24"/>
          <w:lang w:eastAsia="fr-FR"/>
          <w14:ligatures w14:val="none"/>
        </w:rPr>
      </w:pPr>
      <w:r>
        <w:rPr>
          <w:rFonts w:ascii="Times New Roman" w:eastAsia="Times New Roman" w:hAnsi="Times New Roman" w:cs="Times New Roman"/>
          <w:b/>
          <w:bCs/>
          <w:kern w:val="0"/>
          <w:sz w:val="24"/>
          <w:szCs w:val="24"/>
          <w:lang w:eastAsia="fr-FR"/>
          <w14:ligatures w14:val="none"/>
        </w:rPr>
        <w:t>2026-2027</w:t>
      </w:r>
    </w:p>
    <w:p w14:paraId="353272D2" w14:textId="77777777" w:rsidR="00F1245A" w:rsidRDefault="00F1245A" w:rsidP="00F1245A">
      <w:pPr>
        <w:spacing w:after="0" w:line="240" w:lineRule="auto"/>
        <w:rPr>
          <w:rFonts w:ascii="Times New Roman" w:eastAsia="Times New Roman" w:hAnsi="Times New Roman" w:cs="Times New Roman"/>
          <w:b/>
          <w:bCs/>
          <w:i/>
          <w:iCs/>
          <w:kern w:val="0"/>
          <w:sz w:val="24"/>
          <w:szCs w:val="24"/>
          <w:lang w:eastAsia="fr-FR"/>
          <w14:ligatures w14:val="none"/>
        </w:rPr>
      </w:pPr>
    </w:p>
    <w:p w14:paraId="04CC92B7" w14:textId="77777777" w:rsidR="00CA60EF" w:rsidRDefault="00CA60EF" w:rsidP="00F1245A">
      <w:pPr>
        <w:spacing w:after="0" w:line="240" w:lineRule="auto"/>
        <w:rPr>
          <w:rFonts w:ascii="Times New Roman" w:eastAsia="Times New Roman" w:hAnsi="Times New Roman" w:cs="Times New Roman"/>
          <w:b/>
          <w:bCs/>
          <w:i/>
          <w:iCs/>
          <w:kern w:val="0"/>
          <w:sz w:val="24"/>
          <w:szCs w:val="24"/>
          <w:lang w:eastAsia="fr-FR"/>
          <w14:ligatures w14:val="none"/>
        </w:rPr>
      </w:pPr>
    </w:p>
    <w:p w14:paraId="317E87E0" w14:textId="6BE2BE76"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r w:rsidRPr="00CA60EF">
        <w:rPr>
          <w:rFonts w:ascii="Times New Roman" w:eastAsia="Times New Roman" w:hAnsi="Times New Roman" w:cs="Times New Roman"/>
          <w:b/>
          <w:bCs/>
          <w:kern w:val="0"/>
          <w:sz w:val="24"/>
          <w:szCs w:val="24"/>
          <w:lang w:eastAsia="fr-FR"/>
          <w14:ligatures w14:val="none"/>
        </w:rPr>
        <w:t xml:space="preserve">Séminaire </w:t>
      </w:r>
      <w:r>
        <w:rPr>
          <w:rFonts w:ascii="Times New Roman" w:eastAsia="Times New Roman" w:hAnsi="Times New Roman" w:cs="Times New Roman"/>
          <w:b/>
          <w:bCs/>
          <w:kern w:val="0"/>
          <w:sz w:val="24"/>
          <w:szCs w:val="24"/>
          <w:lang w:eastAsia="fr-FR"/>
          <w14:ligatures w14:val="none"/>
        </w:rPr>
        <w:t>« L</w:t>
      </w:r>
      <w:r w:rsidRPr="00CA60EF">
        <w:rPr>
          <w:rFonts w:ascii="Times New Roman" w:eastAsia="Times New Roman" w:hAnsi="Times New Roman" w:cs="Times New Roman"/>
          <w:b/>
          <w:bCs/>
          <w:kern w:val="0"/>
          <w:sz w:val="24"/>
          <w:szCs w:val="24"/>
          <w:lang w:eastAsia="fr-FR"/>
          <w14:ligatures w14:val="none"/>
        </w:rPr>
        <w:t>’interprétation en acte</w:t>
      </w:r>
      <w:r>
        <w:rPr>
          <w:rFonts w:ascii="Times New Roman" w:eastAsia="Times New Roman" w:hAnsi="Times New Roman" w:cs="Times New Roman"/>
          <w:b/>
          <w:bCs/>
          <w:kern w:val="0"/>
          <w:sz w:val="24"/>
          <w:szCs w:val="24"/>
          <w:lang w:eastAsia="fr-FR"/>
          <w14:ligatures w14:val="none"/>
        </w:rPr>
        <w:t> »</w:t>
      </w:r>
      <w:r w:rsidRPr="00CA60EF">
        <w:rPr>
          <w:rFonts w:ascii="Times New Roman" w:eastAsia="Times New Roman" w:hAnsi="Times New Roman" w:cs="Times New Roman"/>
          <w:b/>
          <w:bCs/>
          <w:kern w:val="0"/>
          <w:sz w:val="24"/>
          <w:szCs w:val="24"/>
          <w:lang w:eastAsia="fr-FR"/>
          <w14:ligatures w14:val="none"/>
        </w:rPr>
        <w:t xml:space="preserve"> </w:t>
      </w:r>
    </w:p>
    <w:p w14:paraId="5E2F6461"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p>
    <w:p w14:paraId="549B5BBC" w14:textId="6AF22EBE" w:rsidR="00CA60EF" w:rsidRDefault="00CA60EF" w:rsidP="00CA60EF">
      <w:pPr>
        <w:spacing w:after="0" w:line="240" w:lineRule="auto"/>
        <w:rPr>
          <w:rFonts w:ascii="Times New Roman" w:eastAsia="Times New Roman" w:hAnsi="Times New Roman" w:cs="Times New Roman"/>
          <w:kern w:val="0"/>
          <w:sz w:val="24"/>
          <w:szCs w:val="24"/>
          <w:lang w:eastAsia="fr-FR"/>
          <w14:ligatures w14:val="none"/>
        </w:rPr>
      </w:pPr>
      <w:proofErr w:type="gramStart"/>
      <w:r>
        <w:rPr>
          <w:rFonts w:ascii="Times New Roman" w:eastAsia="Times New Roman" w:hAnsi="Times New Roman" w:cs="Times New Roman"/>
          <w:kern w:val="0"/>
          <w:sz w:val="24"/>
          <w:szCs w:val="24"/>
          <w:lang w:eastAsia="fr-FR"/>
          <w14:ligatures w14:val="none"/>
        </w:rPr>
        <w:t>animé</w:t>
      </w:r>
      <w:proofErr w:type="gramEnd"/>
      <w:r>
        <w:rPr>
          <w:rFonts w:ascii="Times New Roman" w:eastAsia="Times New Roman" w:hAnsi="Times New Roman" w:cs="Times New Roman"/>
          <w:kern w:val="0"/>
          <w:sz w:val="24"/>
          <w:szCs w:val="24"/>
          <w:lang w:eastAsia="fr-FR"/>
          <w14:ligatures w14:val="none"/>
        </w:rPr>
        <w:t xml:space="preserve"> par</w:t>
      </w:r>
    </w:p>
    <w:p w14:paraId="35A7B626" w14:textId="77777777" w:rsid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p>
    <w:p w14:paraId="5B2ACC6E" w14:textId="505B2B5C" w:rsidR="00CA60EF" w:rsidRP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r w:rsidRPr="00CA60EF">
        <w:rPr>
          <w:rFonts w:ascii="Times New Roman" w:eastAsia="Times New Roman" w:hAnsi="Times New Roman" w:cs="Times New Roman"/>
          <w:kern w:val="0"/>
          <w:sz w:val="24"/>
          <w:szCs w:val="24"/>
          <w:lang w:eastAsia="fr-FR"/>
          <w14:ligatures w14:val="none"/>
        </w:rPr>
        <w:t xml:space="preserve">Christian </w:t>
      </w:r>
      <w:r w:rsidRPr="00CA60EF">
        <w:rPr>
          <w:rFonts w:ascii="Times New Roman" w:eastAsia="Times New Roman" w:hAnsi="Times New Roman" w:cs="Times New Roman"/>
          <w:kern w:val="0"/>
          <w:sz w:val="24"/>
          <w:szCs w:val="24"/>
          <w:lang w:eastAsia="fr-FR"/>
          <w14:ligatures w14:val="none"/>
        </w:rPr>
        <w:t>Berner, professeur</w:t>
      </w:r>
      <w:r w:rsidRPr="00CA60EF">
        <w:rPr>
          <w:rFonts w:ascii="Times New Roman" w:eastAsia="Times New Roman" w:hAnsi="Times New Roman" w:cs="Times New Roman"/>
          <w:kern w:val="0"/>
          <w:sz w:val="24"/>
          <w:szCs w:val="24"/>
          <w:lang w:eastAsia="fr-FR"/>
          <w14:ligatures w14:val="none"/>
        </w:rPr>
        <w:t xml:space="preserve"> émérite des universités, Université Paris Nanterre</w:t>
      </w:r>
      <w:r>
        <w:rPr>
          <w:rFonts w:ascii="Times New Roman" w:eastAsia="Times New Roman" w:hAnsi="Times New Roman" w:cs="Times New Roman"/>
          <w:kern w:val="0"/>
          <w:sz w:val="24"/>
          <w:szCs w:val="24"/>
          <w:lang w:eastAsia="fr-FR"/>
          <w14:ligatures w14:val="none"/>
        </w:rPr>
        <w:t> ;</w:t>
      </w:r>
      <w:r w:rsidRPr="00CA60EF">
        <w:rPr>
          <w:rFonts w:ascii="Times New Roman" w:eastAsia="Times New Roman" w:hAnsi="Times New Roman" w:cs="Times New Roman"/>
          <w:kern w:val="0"/>
          <w:sz w:val="24"/>
          <w:szCs w:val="24"/>
          <w:lang w:eastAsia="fr-FR"/>
          <w14:ligatures w14:val="none"/>
        </w:rPr>
        <w:t xml:space="preserve"> Jean-Claude </w:t>
      </w:r>
      <w:proofErr w:type="gramStart"/>
      <w:r w:rsidRPr="00CA60EF">
        <w:rPr>
          <w:rFonts w:ascii="Times New Roman" w:eastAsia="Times New Roman" w:hAnsi="Times New Roman" w:cs="Times New Roman"/>
          <w:kern w:val="0"/>
          <w:sz w:val="24"/>
          <w:szCs w:val="24"/>
          <w:lang w:eastAsia="fr-FR"/>
          <w14:ligatures w14:val="none"/>
        </w:rPr>
        <w:t>Gens,  professeur</w:t>
      </w:r>
      <w:proofErr w:type="gramEnd"/>
      <w:r w:rsidRPr="00CA60EF">
        <w:rPr>
          <w:rFonts w:ascii="Times New Roman" w:eastAsia="Times New Roman" w:hAnsi="Times New Roman" w:cs="Times New Roman"/>
          <w:kern w:val="0"/>
          <w:sz w:val="24"/>
          <w:szCs w:val="24"/>
          <w:lang w:eastAsia="fr-FR"/>
          <w14:ligatures w14:val="none"/>
        </w:rPr>
        <w:t xml:space="preserve"> émérite des universités, Université de Bourgogne (LIR3S)</w:t>
      </w:r>
      <w:r>
        <w:rPr>
          <w:rFonts w:ascii="Times New Roman" w:eastAsia="Times New Roman" w:hAnsi="Times New Roman" w:cs="Times New Roman"/>
          <w:kern w:val="0"/>
          <w:sz w:val="24"/>
          <w:szCs w:val="24"/>
          <w:lang w:eastAsia="fr-FR"/>
          <w14:ligatures w14:val="none"/>
        </w:rPr>
        <w:t xml:space="preserve"> ; </w:t>
      </w:r>
      <w:r w:rsidRPr="00CA60EF">
        <w:rPr>
          <w:rFonts w:ascii="Times New Roman" w:eastAsia="Times New Roman" w:hAnsi="Times New Roman" w:cs="Times New Roman"/>
          <w:kern w:val="0"/>
          <w:sz w:val="24"/>
          <w:szCs w:val="24"/>
          <w:lang w:eastAsia="fr-FR"/>
          <w14:ligatures w14:val="none"/>
        </w:rPr>
        <w:t>(</w:t>
      </w:r>
      <w:proofErr w:type="spellStart"/>
      <w:r w:rsidRPr="00CA60EF">
        <w:rPr>
          <w:rFonts w:ascii="Times New Roman" w:eastAsia="Times New Roman" w:hAnsi="Times New Roman" w:cs="Times New Roman"/>
          <w:kern w:val="0"/>
          <w:sz w:val="24"/>
          <w:szCs w:val="24"/>
          <w:lang w:eastAsia="fr-FR"/>
          <w14:ligatures w14:val="none"/>
        </w:rPr>
        <w:t>IRePh</w:t>
      </w:r>
      <w:proofErr w:type="spellEnd"/>
      <w:r w:rsidRPr="00CA60EF">
        <w:rPr>
          <w:rFonts w:ascii="Times New Roman" w:eastAsia="Times New Roman" w:hAnsi="Times New Roman" w:cs="Times New Roman"/>
          <w:kern w:val="0"/>
          <w:sz w:val="24"/>
          <w:szCs w:val="24"/>
          <w:lang w:eastAsia="fr-FR"/>
          <w14:ligatures w14:val="none"/>
        </w:rPr>
        <w:t xml:space="preserve">)Johann </w:t>
      </w:r>
      <w:proofErr w:type="gramStart"/>
      <w:r w:rsidRPr="00CA60EF">
        <w:rPr>
          <w:rFonts w:ascii="Times New Roman" w:eastAsia="Times New Roman" w:hAnsi="Times New Roman" w:cs="Times New Roman"/>
          <w:kern w:val="0"/>
          <w:sz w:val="24"/>
          <w:szCs w:val="24"/>
          <w:lang w:eastAsia="fr-FR"/>
          <w14:ligatures w14:val="none"/>
        </w:rPr>
        <w:t>Michel,  professeur</w:t>
      </w:r>
      <w:proofErr w:type="gramEnd"/>
      <w:r w:rsidRPr="00CA60EF">
        <w:rPr>
          <w:rFonts w:ascii="Times New Roman" w:eastAsia="Times New Roman" w:hAnsi="Times New Roman" w:cs="Times New Roman"/>
          <w:kern w:val="0"/>
          <w:sz w:val="24"/>
          <w:szCs w:val="24"/>
          <w:lang w:eastAsia="fr-FR"/>
          <w14:ligatures w14:val="none"/>
        </w:rPr>
        <w:t xml:space="preserve"> des universités, Université de Poitiers / Centre d'étude des mouvements sociaux (CEMS)/EHESS </w:t>
      </w:r>
    </w:p>
    <w:p w14:paraId="13F18715" w14:textId="5199C249" w:rsidR="00CA60EF" w:rsidRP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r w:rsidRPr="00CA60EF">
        <w:rPr>
          <w:rFonts w:ascii="Times New Roman" w:eastAsia="Times New Roman" w:hAnsi="Times New Roman" w:cs="Times New Roman"/>
          <w:kern w:val="0"/>
          <w:sz w:val="24"/>
          <w:szCs w:val="24"/>
          <w:lang w:eastAsia="fr-FR"/>
          <w14:ligatures w14:val="none"/>
        </w:rPr>
        <w:t xml:space="preserve"> </w:t>
      </w:r>
    </w:p>
    <w:p w14:paraId="7E7BB8C7" w14:textId="77777777" w:rsidR="00CA60EF" w:rsidRP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p>
    <w:p w14:paraId="6B6C9630" w14:textId="77777777" w:rsidR="00CA60EF" w:rsidRP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r w:rsidRPr="00CA60EF">
        <w:rPr>
          <w:rFonts w:ascii="Times New Roman" w:eastAsia="Times New Roman" w:hAnsi="Times New Roman" w:cs="Times New Roman"/>
          <w:kern w:val="0"/>
          <w:sz w:val="24"/>
          <w:szCs w:val="24"/>
          <w:lang w:eastAsia="fr-FR"/>
          <w14:ligatures w14:val="none"/>
        </w:rPr>
        <w:t>Ce séminaire cherche à explorer de nouvelles pistes pour renouveler la tradition herméneutique et repenser la place de l’interprétation dans les activités humaines. Historiquement associée aux sciences de la compréhension et de l’interprétation des textes, l’herméneutique a connu un élargissement épistémologique d’ampleur, à partir du XIX</w:t>
      </w:r>
      <w:r w:rsidRPr="00CA60EF">
        <w:rPr>
          <w:rFonts w:ascii="Times New Roman" w:eastAsia="Times New Roman" w:hAnsi="Times New Roman" w:cs="Times New Roman"/>
          <w:kern w:val="0"/>
          <w:sz w:val="24"/>
          <w:szCs w:val="24"/>
          <w:vertAlign w:val="superscript"/>
          <w:lang w:eastAsia="fr-FR"/>
          <w14:ligatures w14:val="none"/>
        </w:rPr>
        <w:t>e</w:t>
      </w:r>
      <w:r w:rsidRPr="00CA60EF">
        <w:rPr>
          <w:rFonts w:ascii="Times New Roman" w:eastAsia="Times New Roman" w:hAnsi="Times New Roman" w:cs="Times New Roman"/>
          <w:kern w:val="0"/>
          <w:sz w:val="24"/>
          <w:szCs w:val="24"/>
          <w:lang w:eastAsia="fr-FR"/>
          <w14:ligatures w14:val="none"/>
        </w:rPr>
        <w:t xml:space="preserve"> siècle, dans l’ambition de saisir l’ensemble des expressions culturelles durablement fixées (symboles, œuvres, actions…). L’herméneutique s’est métamorphosée en courant philosophique majeur, au cours du XX</w:t>
      </w:r>
      <w:r w:rsidRPr="00CA60EF">
        <w:rPr>
          <w:rFonts w:ascii="Times New Roman" w:eastAsia="Times New Roman" w:hAnsi="Times New Roman" w:cs="Times New Roman"/>
          <w:kern w:val="0"/>
          <w:sz w:val="24"/>
          <w:szCs w:val="24"/>
          <w:vertAlign w:val="superscript"/>
          <w:lang w:eastAsia="fr-FR"/>
          <w14:ligatures w14:val="none"/>
        </w:rPr>
        <w:t>e</w:t>
      </w:r>
      <w:r w:rsidRPr="00CA60EF">
        <w:rPr>
          <w:rFonts w:ascii="Times New Roman" w:eastAsia="Times New Roman" w:hAnsi="Times New Roman" w:cs="Times New Roman"/>
          <w:kern w:val="0"/>
          <w:sz w:val="24"/>
          <w:szCs w:val="24"/>
          <w:lang w:eastAsia="fr-FR"/>
          <w14:ligatures w14:val="none"/>
        </w:rPr>
        <w:t xml:space="preserve"> siècle, sous l’initiative de Heidegger puis de Gadamer, pour faire de l’interprétation, non plus un enjeu de connaissance, mais une question de mode d’être et d’existence.</w:t>
      </w:r>
    </w:p>
    <w:p w14:paraId="3FCA9EDB" w14:textId="77777777" w:rsidR="00CA60EF" w:rsidRP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r w:rsidRPr="00CA60EF">
        <w:rPr>
          <w:rFonts w:ascii="Times New Roman" w:eastAsia="Times New Roman" w:hAnsi="Times New Roman" w:cs="Times New Roman"/>
          <w:kern w:val="0"/>
          <w:sz w:val="24"/>
          <w:szCs w:val="24"/>
          <w:lang w:eastAsia="fr-FR"/>
          <w14:ligatures w14:val="none"/>
        </w:rPr>
        <w:t>L’objectif de notre séminaire est de dépasser cette alternative ou de la faire fructifier autrement. D’une part, il s’agira de montrer que l’interprétation est universelle dans le sens où elle est constitutive de la pensée et de l’agir humain dans ses activités ordinaires. Ce fait anthropologique n’implique pas toutefois que nous passions tout notre temps à interpréter. Quand interprétons-nous ? Comment la tradition pragmatiste peut-elle contribuer à repenser l’acte d’interpréter ?</w:t>
      </w:r>
    </w:p>
    <w:p w14:paraId="5B3D154B" w14:textId="77777777" w:rsidR="00CA60EF" w:rsidRP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r w:rsidRPr="00CA60EF">
        <w:rPr>
          <w:rFonts w:ascii="Times New Roman" w:eastAsia="Times New Roman" w:hAnsi="Times New Roman" w:cs="Times New Roman"/>
          <w:kern w:val="0"/>
          <w:sz w:val="24"/>
          <w:szCs w:val="24"/>
          <w:lang w:eastAsia="fr-FR"/>
          <w14:ligatures w14:val="none"/>
        </w:rPr>
        <w:t>D’autre part, il s’agira de porter attention à des contextes de vie particulier, à des domaines spécialisés de savoir et de savoir-faire dans lesquels se déploient des herméneutiques spéciales : la technique, le vivant et le social.</w:t>
      </w:r>
    </w:p>
    <w:p w14:paraId="5166C100" w14:textId="77777777" w:rsidR="00CA60EF" w:rsidRP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r w:rsidRPr="00CA60EF">
        <w:rPr>
          <w:rFonts w:ascii="Times New Roman" w:eastAsia="Times New Roman" w:hAnsi="Times New Roman" w:cs="Times New Roman"/>
          <w:kern w:val="0"/>
          <w:sz w:val="24"/>
          <w:szCs w:val="24"/>
          <w:lang w:eastAsia="fr-FR"/>
          <w14:ligatures w14:val="none"/>
        </w:rPr>
        <w:t>En somme, étudier l’</w:t>
      </w:r>
      <w:r w:rsidRPr="00CA60EF">
        <w:rPr>
          <w:rFonts w:ascii="Times New Roman" w:eastAsia="Times New Roman" w:hAnsi="Times New Roman" w:cs="Times New Roman"/>
          <w:i/>
          <w:iCs/>
          <w:kern w:val="0"/>
          <w:sz w:val="24"/>
          <w:szCs w:val="24"/>
          <w:lang w:eastAsia="fr-FR"/>
          <w14:ligatures w14:val="none"/>
        </w:rPr>
        <w:t>interprétation en acte</w:t>
      </w:r>
      <w:r w:rsidRPr="00CA60EF">
        <w:rPr>
          <w:rFonts w:ascii="Times New Roman" w:eastAsia="Times New Roman" w:hAnsi="Times New Roman" w:cs="Times New Roman"/>
          <w:kern w:val="0"/>
          <w:sz w:val="24"/>
          <w:szCs w:val="24"/>
          <w:lang w:eastAsia="fr-FR"/>
          <w14:ligatures w14:val="none"/>
        </w:rPr>
        <w:t xml:space="preserve"> permet d’accroitre notre savoir sur la réflexivité et l’autoréflexivité dans les pratiques scientifiques, dans notre rapport ordinaire avec le monde, et d’approfondir les enjeux normatifs (éthiques, juridiques, politiques) posés par l’herméneutique. Restera alors à penser les éléments d'une politique de l'interprétation.</w:t>
      </w:r>
    </w:p>
    <w:p w14:paraId="6E070646" w14:textId="77777777" w:rsidR="00CA60EF" w:rsidRPr="00CA60EF" w:rsidRDefault="00CA60EF" w:rsidP="00CA60EF">
      <w:pPr>
        <w:spacing w:after="0" w:line="240" w:lineRule="auto"/>
        <w:jc w:val="both"/>
        <w:rPr>
          <w:rFonts w:ascii="Times New Roman" w:eastAsia="Times New Roman" w:hAnsi="Times New Roman" w:cs="Times New Roman"/>
          <w:kern w:val="0"/>
          <w:sz w:val="24"/>
          <w:szCs w:val="24"/>
          <w:lang w:eastAsia="fr-FR"/>
          <w14:ligatures w14:val="none"/>
        </w:rPr>
      </w:pPr>
      <w:r w:rsidRPr="00CA60EF">
        <w:rPr>
          <w:rFonts w:ascii="Times New Roman" w:eastAsia="Times New Roman" w:hAnsi="Times New Roman" w:cs="Times New Roman"/>
          <w:kern w:val="0"/>
          <w:sz w:val="24"/>
          <w:szCs w:val="24"/>
          <w:lang w:eastAsia="fr-FR"/>
          <w14:ligatures w14:val="none"/>
        </w:rPr>
        <w:t>Le séminaire est animé par trois spécialistes de l’interprétation et de l’herméneutique et se fera en collaboration avec le CEMS/EHESS, l'</w:t>
      </w:r>
      <w:proofErr w:type="spellStart"/>
      <w:r w:rsidRPr="00CA60EF">
        <w:rPr>
          <w:rFonts w:ascii="Times New Roman" w:eastAsia="Times New Roman" w:hAnsi="Times New Roman" w:cs="Times New Roman"/>
          <w:kern w:val="0"/>
          <w:sz w:val="24"/>
          <w:szCs w:val="24"/>
          <w:lang w:eastAsia="fr-FR"/>
          <w14:ligatures w14:val="none"/>
        </w:rPr>
        <w:t>IRePh</w:t>
      </w:r>
      <w:proofErr w:type="spellEnd"/>
      <w:r w:rsidRPr="00CA60EF">
        <w:rPr>
          <w:rFonts w:ascii="Times New Roman" w:eastAsia="Times New Roman" w:hAnsi="Times New Roman" w:cs="Times New Roman"/>
          <w:kern w:val="0"/>
          <w:sz w:val="24"/>
          <w:szCs w:val="24"/>
          <w:lang w:eastAsia="fr-FR"/>
          <w14:ligatures w14:val="none"/>
        </w:rPr>
        <w:t xml:space="preserve"> de l’Université Paris Nanterre, le laboratoire LIR3S de l’Université de Dijon.</w:t>
      </w:r>
    </w:p>
    <w:p w14:paraId="1E888D23" w14:textId="77777777" w:rsidR="00CA60EF" w:rsidRPr="00CA60EF" w:rsidRDefault="00CA60EF" w:rsidP="00CA60EF">
      <w:pPr>
        <w:spacing w:after="0" w:line="240" w:lineRule="auto"/>
        <w:jc w:val="both"/>
        <w:rPr>
          <w:rFonts w:ascii="Times New Roman" w:eastAsia="Times New Roman" w:hAnsi="Times New Roman" w:cs="Times New Roman"/>
          <w:b/>
          <w:bCs/>
          <w:kern w:val="0"/>
          <w:sz w:val="24"/>
          <w:szCs w:val="24"/>
          <w:lang w:eastAsia="fr-FR"/>
          <w14:ligatures w14:val="none"/>
        </w:rPr>
      </w:pPr>
    </w:p>
    <w:p w14:paraId="779B4C28"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p>
    <w:p w14:paraId="1BC58F92"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p>
    <w:p w14:paraId="4E648CAF"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r w:rsidRPr="00CA60EF">
        <w:rPr>
          <w:rFonts w:ascii="Times New Roman" w:eastAsia="Times New Roman" w:hAnsi="Times New Roman" w:cs="Times New Roman"/>
          <w:b/>
          <w:bCs/>
          <w:kern w:val="0"/>
          <w:sz w:val="24"/>
          <w:szCs w:val="24"/>
          <w:lang w:eastAsia="fr-FR"/>
          <w14:ligatures w14:val="none"/>
        </w:rPr>
        <w:t>54 bd Raspail</w:t>
      </w:r>
    </w:p>
    <w:p w14:paraId="0275E29B"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r w:rsidRPr="00CA60EF">
        <w:rPr>
          <w:rFonts w:ascii="Times New Roman" w:eastAsia="Times New Roman" w:hAnsi="Times New Roman" w:cs="Times New Roman"/>
          <w:b/>
          <w:bCs/>
          <w:kern w:val="0"/>
          <w:sz w:val="24"/>
          <w:szCs w:val="24"/>
          <w:lang w:eastAsia="fr-FR"/>
          <w14:ligatures w14:val="none"/>
        </w:rPr>
        <w:t xml:space="preserve"> 75006 Paris</w:t>
      </w:r>
    </w:p>
    <w:p w14:paraId="7F82FD4A"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r w:rsidRPr="00CA60EF">
        <w:rPr>
          <w:rFonts w:ascii="Times New Roman" w:eastAsia="Times New Roman" w:hAnsi="Times New Roman" w:cs="Times New Roman"/>
          <w:b/>
          <w:bCs/>
          <w:kern w:val="0"/>
          <w:sz w:val="24"/>
          <w:szCs w:val="24"/>
          <w:lang w:eastAsia="fr-FR"/>
          <w14:ligatures w14:val="none"/>
        </w:rPr>
        <w:t>Salle A06_51</w:t>
      </w:r>
    </w:p>
    <w:p w14:paraId="5F3C0DCC"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proofErr w:type="gramStart"/>
      <w:r w:rsidRPr="00CA60EF">
        <w:rPr>
          <w:rFonts w:ascii="Times New Roman" w:eastAsia="Times New Roman" w:hAnsi="Times New Roman" w:cs="Times New Roman"/>
          <w:b/>
          <w:bCs/>
          <w:kern w:val="0"/>
          <w:sz w:val="24"/>
          <w:szCs w:val="24"/>
          <w:lang w:eastAsia="fr-FR"/>
          <w14:ligatures w14:val="none"/>
        </w:rPr>
        <w:t>annuel</w:t>
      </w:r>
      <w:proofErr w:type="gramEnd"/>
      <w:r w:rsidRPr="00CA60EF">
        <w:rPr>
          <w:rFonts w:ascii="Times New Roman" w:eastAsia="Times New Roman" w:hAnsi="Times New Roman" w:cs="Times New Roman"/>
          <w:b/>
          <w:bCs/>
          <w:kern w:val="0"/>
          <w:sz w:val="24"/>
          <w:szCs w:val="24"/>
          <w:lang w:eastAsia="fr-FR"/>
          <w14:ligatures w14:val="none"/>
        </w:rPr>
        <w:t xml:space="preserve"> / mensuel (3e), vendredi </w:t>
      </w:r>
      <w:proofErr w:type="gramStart"/>
      <w:r w:rsidRPr="00CA60EF">
        <w:rPr>
          <w:rFonts w:ascii="Times New Roman" w:eastAsia="Times New Roman" w:hAnsi="Times New Roman" w:cs="Times New Roman"/>
          <w:b/>
          <w:bCs/>
          <w:kern w:val="0"/>
          <w:sz w:val="24"/>
          <w:szCs w:val="24"/>
          <w:lang w:eastAsia="fr-FR"/>
          <w14:ligatures w14:val="none"/>
        </w:rPr>
        <w:t>10:</w:t>
      </w:r>
      <w:proofErr w:type="gramEnd"/>
      <w:r w:rsidRPr="00CA60EF">
        <w:rPr>
          <w:rFonts w:ascii="Times New Roman" w:eastAsia="Times New Roman" w:hAnsi="Times New Roman" w:cs="Times New Roman"/>
          <w:b/>
          <w:bCs/>
          <w:kern w:val="0"/>
          <w:sz w:val="24"/>
          <w:szCs w:val="24"/>
          <w:lang w:eastAsia="fr-FR"/>
          <w14:ligatures w14:val="none"/>
        </w:rPr>
        <w:t>00-</w:t>
      </w:r>
      <w:proofErr w:type="gramStart"/>
      <w:r w:rsidRPr="00CA60EF">
        <w:rPr>
          <w:rFonts w:ascii="Times New Roman" w:eastAsia="Times New Roman" w:hAnsi="Times New Roman" w:cs="Times New Roman"/>
          <w:b/>
          <w:bCs/>
          <w:kern w:val="0"/>
          <w:sz w:val="24"/>
          <w:szCs w:val="24"/>
          <w:lang w:eastAsia="fr-FR"/>
          <w14:ligatures w14:val="none"/>
        </w:rPr>
        <w:t>13:</w:t>
      </w:r>
      <w:proofErr w:type="gramEnd"/>
      <w:r w:rsidRPr="00CA60EF">
        <w:rPr>
          <w:rFonts w:ascii="Times New Roman" w:eastAsia="Times New Roman" w:hAnsi="Times New Roman" w:cs="Times New Roman"/>
          <w:b/>
          <w:bCs/>
          <w:kern w:val="0"/>
          <w:sz w:val="24"/>
          <w:szCs w:val="24"/>
          <w:lang w:eastAsia="fr-FR"/>
          <w14:ligatures w14:val="none"/>
        </w:rPr>
        <w:t>00 du 17 octobre 2025 au 19 juin 2026</w:t>
      </w:r>
    </w:p>
    <w:p w14:paraId="1DEA3D14"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r w:rsidRPr="00CA60EF">
        <w:rPr>
          <w:rFonts w:ascii="Times New Roman" w:eastAsia="Times New Roman" w:hAnsi="Times New Roman" w:cs="Times New Roman"/>
          <w:b/>
          <w:bCs/>
          <w:kern w:val="0"/>
          <w:sz w:val="24"/>
          <w:szCs w:val="24"/>
          <w:lang w:eastAsia="fr-FR"/>
          <w14:ligatures w14:val="none"/>
        </w:rPr>
        <w:t xml:space="preserve">Les </w:t>
      </w:r>
      <w:proofErr w:type="gramStart"/>
      <w:r w:rsidRPr="00CA60EF">
        <w:rPr>
          <w:rFonts w:ascii="Times New Roman" w:eastAsia="Times New Roman" w:hAnsi="Times New Roman" w:cs="Times New Roman"/>
          <w:b/>
          <w:bCs/>
          <w:kern w:val="0"/>
          <w:sz w:val="24"/>
          <w:szCs w:val="24"/>
          <w:lang w:eastAsia="fr-FR"/>
          <w14:ligatures w14:val="none"/>
        </w:rPr>
        <w:t>séances  se</w:t>
      </w:r>
      <w:proofErr w:type="gramEnd"/>
      <w:r w:rsidRPr="00CA60EF">
        <w:rPr>
          <w:rFonts w:ascii="Times New Roman" w:eastAsia="Times New Roman" w:hAnsi="Times New Roman" w:cs="Times New Roman"/>
          <w:b/>
          <w:bCs/>
          <w:kern w:val="0"/>
          <w:sz w:val="24"/>
          <w:szCs w:val="24"/>
          <w:lang w:eastAsia="fr-FR"/>
          <w14:ligatures w14:val="none"/>
        </w:rPr>
        <w:t xml:space="preserve"> dérouleront en format hybride. Adresse de connexion : </w:t>
      </w:r>
    </w:p>
    <w:p w14:paraId="3E35E64F" w14:textId="77777777" w:rsidR="00CA60EF" w:rsidRPr="00CA60EF" w:rsidRDefault="00CA60EF" w:rsidP="00CA60EF">
      <w:pPr>
        <w:spacing w:after="0" w:line="240" w:lineRule="auto"/>
        <w:rPr>
          <w:rFonts w:ascii="Times New Roman" w:eastAsia="Times New Roman" w:hAnsi="Times New Roman" w:cs="Times New Roman"/>
          <w:b/>
          <w:bCs/>
          <w:kern w:val="0"/>
          <w:sz w:val="24"/>
          <w:szCs w:val="24"/>
          <w:lang w:eastAsia="fr-FR"/>
          <w14:ligatures w14:val="none"/>
        </w:rPr>
      </w:pPr>
      <w:hyperlink r:id="rId4" w:tgtFrame="_blank" w:history="1">
        <w:r w:rsidRPr="00CA60EF">
          <w:rPr>
            <w:rStyle w:val="Lienhypertexte"/>
            <w:rFonts w:ascii="Times New Roman" w:eastAsia="Times New Roman" w:hAnsi="Times New Roman" w:cs="Times New Roman"/>
            <w:b/>
            <w:bCs/>
            <w:kern w:val="0"/>
            <w:sz w:val="24"/>
            <w:szCs w:val="24"/>
            <w:lang w:eastAsia="fr-FR"/>
            <w14:ligatures w14:val="none"/>
          </w:rPr>
          <w:t>https://univ-poitiers.webex.com/meet/johann.michel</w:t>
        </w:r>
      </w:hyperlink>
    </w:p>
    <w:p w14:paraId="29F51497" w14:textId="77777777" w:rsidR="00CA60EF" w:rsidRDefault="00CA60EF" w:rsidP="00F1245A">
      <w:pPr>
        <w:spacing w:after="0" w:line="240" w:lineRule="auto"/>
        <w:rPr>
          <w:rFonts w:ascii="Times New Roman" w:eastAsia="Times New Roman" w:hAnsi="Times New Roman" w:cs="Times New Roman"/>
          <w:b/>
          <w:bCs/>
          <w:kern w:val="0"/>
          <w:sz w:val="24"/>
          <w:szCs w:val="24"/>
          <w:lang w:eastAsia="fr-FR"/>
          <w14:ligatures w14:val="none"/>
        </w:rPr>
      </w:pPr>
    </w:p>
    <w:p w14:paraId="4C986CAC" w14:textId="77777777" w:rsidR="00CA60EF" w:rsidRDefault="00CA60EF" w:rsidP="00F1245A">
      <w:pPr>
        <w:spacing w:after="0" w:line="240" w:lineRule="auto"/>
        <w:rPr>
          <w:rFonts w:ascii="Times New Roman" w:eastAsia="Times New Roman" w:hAnsi="Times New Roman" w:cs="Times New Roman"/>
          <w:b/>
          <w:bCs/>
          <w:kern w:val="0"/>
          <w:sz w:val="24"/>
          <w:szCs w:val="24"/>
          <w:lang w:eastAsia="fr-FR"/>
          <w14:ligatures w14:val="none"/>
        </w:rPr>
      </w:pPr>
    </w:p>
    <w:p w14:paraId="37555486" w14:textId="77777777" w:rsidR="00CA60EF" w:rsidRPr="00CA60EF" w:rsidRDefault="00CA60EF" w:rsidP="00F1245A">
      <w:pPr>
        <w:spacing w:after="0" w:line="240" w:lineRule="auto"/>
        <w:rPr>
          <w:rFonts w:ascii="Times New Roman" w:eastAsia="Times New Roman" w:hAnsi="Times New Roman" w:cs="Times New Roman"/>
          <w:b/>
          <w:bCs/>
          <w:kern w:val="0"/>
          <w:sz w:val="24"/>
          <w:szCs w:val="24"/>
          <w:lang w:eastAsia="fr-FR"/>
          <w14:ligatures w14:val="none"/>
        </w:rPr>
      </w:pPr>
    </w:p>
    <w:p w14:paraId="03723CBA" w14:textId="77777777" w:rsidR="00CA60EF" w:rsidRDefault="00CA60EF" w:rsidP="00F1245A">
      <w:pPr>
        <w:spacing w:after="0" w:line="240" w:lineRule="auto"/>
        <w:rPr>
          <w:rFonts w:ascii="Times New Roman" w:eastAsia="Times New Roman" w:hAnsi="Times New Roman" w:cs="Times New Roman"/>
          <w:b/>
          <w:bCs/>
          <w:i/>
          <w:iCs/>
          <w:kern w:val="0"/>
          <w:sz w:val="24"/>
          <w:szCs w:val="24"/>
          <w:lang w:eastAsia="fr-FR"/>
          <w14:ligatures w14:val="none"/>
        </w:rPr>
      </w:pPr>
    </w:p>
    <w:p w14:paraId="39B9264E" w14:textId="3A239E07" w:rsidR="00F1245A" w:rsidRPr="00F1245A" w:rsidRDefault="00F1245A" w:rsidP="00F1245A">
      <w:pPr>
        <w:spacing w:after="0" w:line="240" w:lineRule="auto"/>
        <w:rPr>
          <w:rFonts w:ascii="Times New Roman" w:eastAsia="Times New Roman" w:hAnsi="Times New Roman" w:cs="Times New Roman"/>
          <w:b/>
          <w:bCs/>
          <w:i/>
          <w:iCs/>
          <w:kern w:val="0"/>
          <w:sz w:val="24"/>
          <w:szCs w:val="24"/>
          <w:lang w:eastAsia="fr-FR"/>
          <w14:ligatures w14:val="none"/>
        </w:rPr>
      </w:pPr>
      <w:r w:rsidRPr="00F1245A">
        <w:rPr>
          <w:rFonts w:ascii="Times New Roman" w:eastAsia="Times New Roman" w:hAnsi="Times New Roman" w:cs="Times New Roman"/>
          <w:b/>
          <w:bCs/>
          <w:i/>
          <w:iCs/>
          <w:kern w:val="0"/>
          <w:sz w:val="24"/>
          <w:szCs w:val="24"/>
          <w:lang w:eastAsia="fr-FR"/>
          <w14:ligatures w14:val="none"/>
        </w:rPr>
        <w:lastRenderedPageBreak/>
        <w:t>Séance du 16 octobre :  </w:t>
      </w:r>
    </w:p>
    <w:p w14:paraId="0EFF5D46"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Jean-François Côté, » La contradiction herméneutique : portée et limite de la sociologie de la critique chez Boltanski ».</w:t>
      </w:r>
    </w:p>
    <w:p w14:paraId="75A9FF39" w14:textId="0F8AAD32"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 xml:space="preserve">David </w:t>
      </w:r>
      <w:r w:rsidR="00110F40" w:rsidRPr="00F1245A">
        <w:rPr>
          <w:rFonts w:ascii="Times New Roman" w:eastAsia="Times New Roman" w:hAnsi="Times New Roman" w:cs="Times New Roman"/>
          <w:kern w:val="0"/>
          <w:sz w:val="24"/>
          <w:szCs w:val="24"/>
          <w:lang w:eastAsia="fr-FR"/>
          <w14:ligatures w14:val="none"/>
        </w:rPr>
        <w:t>Simonin</w:t>
      </w:r>
      <w:r w:rsidRPr="00F1245A">
        <w:rPr>
          <w:rFonts w:ascii="Times New Roman" w:eastAsia="Times New Roman" w:hAnsi="Times New Roman" w:cs="Times New Roman"/>
          <w:kern w:val="0"/>
          <w:sz w:val="24"/>
          <w:szCs w:val="24"/>
          <w:lang w:eastAsia="fr-FR"/>
          <w14:ligatures w14:val="none"/>
        </w:rPr>
        <w:t xml:space="preserve">, « homo </w:t>
      </w:r>
      <w:proofErr w:type="spellStart"/>
      <w:r w:rsidRPr="00F1245A">
        <w:rPr>
          <w:rFonts w:ascii="Times New Roman" w:eastAsia="Times New Roman" w:hAnsi="Times New Roman" w:cs="Times New Roman"/>
          <w:kern w:val="0"/>
          <w:sz w:val="24"/>
          <w:szCs w:val="24"/>
          <w:lang w:eastAsia="fr-FR"/>
          <w14:ligatures w14:val="none"/>
        </w:rPr>
        <w:t>fabulator</w:t>
      </w:r>
      <w:proofErr w:type="spellEnd"/>
      <w:r w:rsidRPr="00F1245A">
        <w:rPr>
          <w:rFonts w:ascii="Times New Roman" w:eastAsia="Times New Roman" w:hAnsi="Times New Roman" w:cs="Times New Roman"/>
          <w:kern w:val="0"/>
          <w:sz w:val="24"/>
          <w:szCs w:val="24"/>
          <w:lang w:eastAsia="fr-FR"/>
          <w14:ligatures w14:val="none"/>
        </w:rPr>
        <w:t> »</w:t>
      </w:r>
    </w:p>
    <w:p w14:paraId="47696A58" w14:textId="36378CF1"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  </w:t>
      </w:r>
    </w:p>
    <w:p w14:paraId="32217B66" w14:textId="77777777" w:rsidR="00F1245A" w:rsidRPr="00F1245A" w:rsidRDefault="00F1245A" w:rsidP="00F1245A">
      <w:pPr>
        <w:spacing w:after="0" w:line="240" w:lineRule="auto"/>
        <w:rPr>
          <w:rFonts w:ascii="Times New Roman" w:eastAsia="Times New Roman" w:hAnsi="Times New Roman" w:cs="Times New Roman"/>
          <w:b/>
          <w:bCs/>
          <w:i/>
          <w:iCs/>
          <w:kern w:val="0"/>
          <w:sz w:val="24"/>
          <w:szCs w:val="24"/>
          <w:lang w:eastAsia="fr-FR"/>
          <w14:ligatures w14:val="none"/>
        </w:rPr>
      </w:pPr>
      <w:r w:rsidRPr="00F1245A">
        <w:rPr>
          <w:rFonts w:ascii="Times New Roman" w:eastAsia="Times New Roman" w:hAnsi="Times New Roman" w:cs="Times New Roman"/>
          <w:b/>
          <w:bCs/>
          <w:i/>
          <w:iCs/>
          <w:kern w:val="0"/>
          <w:sz w:val="24"/>
          <w:szCs w:val="24"/>
          <w:lang w:eastAsia="fr-FR"/>
          <w14:ligatures w14:val="none"/>
        </w:rPr>
        <w:t xml:space="preserve">Séance du 20 novembre : </w:t>
      </w:r>
    </w:p>
    <w:p w14:paraId="4987D231"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Jean-Claude Gens, "L'herméneutique narrative"</w:t>
      </w:r>
    </w:p>
    <w:p w14:paraId="7A978F58"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Johann Michel, « Rendre visible le pouvoir. Iconologie politique. »</w:t>
      </w:r>
    </w:p>
    <w:p w14:paraId="2363123D"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 </w:t>
      </w:r>
    </w:p>
    <w:p w14:paraId="2ABF7DF6" w14:textId="77777777" w:rsidR="00F1245A" w:rsidRPr="00F1245A" w:rsidRDefault="00F1245A" w:rsidP="00F1245A">
      <w:pPr>
        <w:spacing w:after="0" w:line="240" w:lineRule="auto"/>
        <w:rPr>
          <w:rFonts w:ascii="Times New Roman" w:eastAsia="Times New Roman" w:hAnsi="Times New Roman" w:cs="Times New Roman"/>
          <w:b/>
          <w:bCs/>
          <w:i/>
          <w:iCs/>
          <w:kern w:val="0"/>
          <w:sz w:val="24"/>
          <w:szCs w:val="24"/>
          <w:lang w:eastAsia="fr-FR"/>
          <w14:ligatures w14:val="none"/>
        </w:rPr>
      </w:pPr>
      <w:r w:rsidRPr="00F1245A">
        <w:rPr>
          <w:rFonts w:ascii="Times New Roman" w:eastAsia="Times New Roman" w:hAnsi="Times New Roman" w:cs="Times New Roman"/>
          <w:b/>
          <w:bCs/>
          <w:i/>
          <w:iCs/>
          <w:kern w:val="0"/>
          <w:sz w:val="24"/>
          <w:szCs w:val="24"/>
          <w:lang w:eastAsia="fr-FR"/>
          <w14:ligatures w14:val="none"/>
        </w:rPr>
        <w:t xml:space="preserve">Séance du 15 janvier : </w:t>
      </w:r>
    </w:p>
    <w:p w14:paraId="31163490" w14:textId="3BEB50E1"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 xml:space="preserve">Yves Vendé : "Lecture rationnelle ou lecture inspirée, quelques remarques sur le </w:t>
      </w:r>
      <w:proofErr w:type="spellStart"/>
      <w:r w:rsidRPr="00F1245A">
        <w:rPr>
          <w:rFonts w:ascii="Times New Roman" w:eastAsia="Times New Roman" w:hAnsi="Times New Roman" w:cs="Times New Roman"/>
          <w:kern w:val="0"/>
          <w:sz w:val="24"/>
          <w:szCs w:val="24"/>
          <w:lang w:eastAsia="fr-FR"/>
          <w14:ligatures w14:val="none"/>
        </w:rPr>
        <w:t>Daotong</w:t>
      </w:r>
      <w:proofErr w:type="spellEnd"/>
      <w:r w:rsidRPr="00F1245A">
        <w:rPr>
          <w:rFonts w:ascii="Times New Roman" w:eastAsia="Times New Roman" w:hAnsi="Times New Roman" w:cs="Times New Roman"/>
          <w:kern w:val="0"/>
          <w:sz w:val="24"/>
          <w:szCs w:val="24"/>
          <w:lang w:eastAsia="fr-FR"/>
          <w14:ligatures w14:val="none"/>
        </w:rPr>
        <w:t xml:space="preserve"> </w:t>
      </w:r>
      <w:proofErr w:type="spellStart"/>
      <w:r w:rsidRPr="00F1245A">
        <w:rPr>
          <w:rFonts w:ascii="MS Gothic" w:eastAsia="MS Gothic" w:hAnsi="MS Gothic" w:cs="Times New Roman"/>
          <w:kern w:val="0"/>
          <w:sz w:val="24"/>
          <w:szCs w:val="24"/>
          <w:lang w:val="en-US" w:eastAsia="fr-FR"/>
          <w14:ligatures w14:val="none"/>
        </w:rPr>
        <w:t>道統</w:t>
      </w:r>
      <w:proofErr w:type="spellEnd"/>
      <w:r w:rsidRPr="00F1245A">
        <w:rPr>
          <w:rFonts w:ascii="Times New Roman" w:eastAsia="Times New Roman" w:hAnsi="Times New Roman" w:cs="Times New Roman"/>
          <w:kern w:val="0"/>
          <w:sz w:val="24"/>
          <w:szCs w:val="24"/>
          <w:lang w:eastAsia="fr-FR"/>
          <w14:ligatures w14:val="none"/>
        </w:rPr>
        <w:t xml:space="preserve"> et l'Esprit Saint"</w:t>
      </w:r>
    </w:p>
    <w:p w14:paraId="0CC2E787" w14:textId="10B45086" w:rsid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G</w:t>
      </w:r>
      <w:r w:rsidR="00110F40">
        <w:rPr>
          <w:rFonts w:ascii="Times New Roman" w:eastAsia="Times New Roman" w:hAnsi="Times New Roman" w:cs="Times New Roman"/>
          <w:kern w:val="0"/>
          <w:sz w:val="24"/>
          <w:szCs w:val="24"/>
          <w:lang w:eastAsia="fr-FR"/>
          <w14:ligatures w14:val="none"/>
        </w:rPr>
        <w:t>uillaume</w:t>
      </w:r>
      <w:r w:rsidRPr="00F1245A">
        <w:rPr>
          <w:rFonts w:ascii="Times New Roman" w:eastAsia="Times New Roman" w:hAnsi="Times New Roman" w:cs="Times New Roman"/>
          <w:kern w:val="0"/>
          <w:sz w:val="24"/>
          <w:szCs w:val="24"/>
          <w:lang w:eastAsia="fr-FR"/>
          <w14:ligatures w14:val="none"/>
        </w:rPr>
        <w:t xml:space="preserve"> Dutournier, "Artificialité du rite, agentivité du commentaire : l'individu dans la tradition chinoise"</w:t>
      </w:r>
    </w:p>
    <w:p w14:paraId="58AAD05A"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p>
    <w:p w14:paraId="2C38E86E" w14:textId="77777777" w:rsidR="00F1245A" w:rsidRPr="00F1245A" w:rsidRDefault="00F1245A" w:rsidP="00F1245A">
      <w:pPr>
        <w:spacing w:after="0" w:line="240" w:lineRule="auto"/>
        <w:rPr>
          <w:rFonts w:ascii="Times New Roman" w:eastAsia="Times New Roman" w:hAnsi="Times New Roman" w:cs="Times New Roman"/>
          <w:b/>
          <w:bCs/>
          <w:i/>
          <w:iCs/>
          <w:kern w:val="0"/>
          <w:sz w:val="24"/>
          <w:szCs w:val="24"/>
          <w:lang w:eastAsia="fr-FR"/>
          <w14:ligatures w14:val="none"/>
        </w:rPr>
      </w:pPr>
      <w:r w:rsidRPr="00F1245A">
        <w:rPr>
          <w:rFonts w:ascii="Times New Roman" w:eastAsia="Times New Roman" w:hAnsi="Times New Roman" w:cs="Times New Roman"/>
          <w:b/>
          <w:bCs/>
          <w:i/>
          <w:iCs/>
          <w:kern w:val="0"/>
          <w:sz w:val="24"/>
          <w:szCs w:val="24"/>
          <w:lang w:eastAsia="fr-FR"/>
          <w14:ligatures w14:val="none"/>
        </w:rPr>
        <w:t xml:space="preserve">Séance du 19 février : </w:t>
      </w:r>
    </w:p>
    <w:p w14:paraId="1E399B41"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Denis Thouard, « De la possibilité d'une herméneutique comparée"</w:t>
      </w:r>
    </w:p>
    <w:p w14:paraId="2305D78B" w14:textId="5E3DCB18" w:rsid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Simon Calenge, "L'exclusion conversationnelle"</w:t>
      </w:r>
    </w:p>
    <w:p w14:paraId="4931C444"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p>
    <w:p w14:paraId="322ABB8D" w14:textId="77777777" w:rsidR="00F1245A" w:rsidRPr="00F1245A" w:rsidRDefault="00F1245A" w:rsidP="00F1245A">
      <w:pPr>
        <w:spacing w:after="0" w:line="240" w:lineRule="auto"/>
        <w:rPr>
          <w:rFonts w:ascii="Times New Roman" w:eastAsia="Times New Roman" w:hAnsi="Times New Roman" w:cs="Times New Roman"/>
          <w:b/>
          <w:bCs/>
          <w:i/>
          <w:iCs/>
          <w:kern w:val="0"/>
          <w:sz w:val="24"/>
          <w:szCs w:val="24"/>
          <w:lang w:eastAsia="fr-FR"/>
          <w14:ligatures w14:val="none"/>
        </w:rPr>
      </w:pPr>
      <w:r w:rsidRPr="00F1245A">
        <w:rPr>
          <w:rFonts w:ascii="Times New Roman" w:eastAsia="Times New Roman" w:hAnsi="Times New Roman" w:cs="Times New Roman"/>
          <w:b/>
          <w:bCs/>
          <w:i/>
          <w:iCs/>
          <w:kern w:val="0"/>
          <w:sz w:val="24"/>
          <w:szCs w:val="24"/>
          <w:lang w:eastAsia="fr-FR"/>
          <w14:ligatures w14:val="none"/>
        </w:rPr>
        <w:t xml:space="preserve">Séance du 19 mars : </w:t>
      </w:r>
    </w:p>
    <w:p w14:paraId="2C69D1B6" w14:textId="6BB1EF43"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R</w:t>
      </w:r>
      <w:r w:rsidR="00110F40">
        <w:rPr>
          <w:rFonts w:ascii="Times New Roman" w:eastAsia="Times New Roman" w:hAnsi="Times New Roman" w:cs="Times New Roman"/>
          <w:kern w:val="0"/>
          <w:sz w:val="24"/>
          <w:szCs w:val="24"/>
          <w:lang w:eastAsia="fr-FR"/>
          <w14:ligatures w14:val="none"/>
        </w:rPr>
        <w:t>aphaël</w:t>
      </w:r>
      <w:r w:rsidRPr="00F1245A">
        <w:rPr>
          <w:rFonts w:ascii="Times New Roman" w:eastAsia="Times New Roman" w:hAnsi="Times New Roman" w:cs="Times New Roman"/>
          <w:kern w:val="0"/>
          <w:sz w:val="24"/>
          <w:szCs w:val="24"/>
          <w:lang w:eastAsia="fr-FR"/>
          <w14:ligatures w14:val="none"/>
        </w:rPr>
        <w:t xml:space="preserve"> Künstler, 19 </w:t>
      </w:r>
      <w:proofErr w:type="gramStart"/>
      <w:r w:rsidRPr="00F1245A">
        <w:rPr>
          <w:rFonts w:ascii="Times New Roman" w:eastAsia="Times New Roman" w:hAnsi="Times New Roman" w:cs="Times New Roman"/>
          <w:kern w:val="0"/>
          <w:sz w:val="24"/>
          <w:szCs w:val="24"/>
          <w:lang w:eastAsia="fr-FR"/>
          <w14:ligatures w14:val="none"/>
        </w:rPr>
        <w:t>mars,  «</w:t>
      </w:r>
      <w:proofErr w:type="gramEnd"/>
      <w:r w:rsidRPr="00F1245A">
        <w:rPr>
          <w:rFonts w:ascii="Times New Roman" w:eastAsia="Times New Roman" w:hAnsi="Times New Roman" w:cs="Times New Roman"/>
          <w:kern w:val="0"/>
          <w:sz w:val="24"/>
          <w:szCs w:val="24"/>
          <w:lang w:eastAsia="fr-FR"/>
          <w14:ligatures w14:val="none"/>
        </w:rPr>
        <w:t xml:space="preserve"> La connaissance interprétative comme hypothèse justifiée par inférence à la meilleure explication »</w:t>
      </w:r>
    </w:p>
    <w:p w14:paraId="729F0383" w14:textId="77777777" w:rsid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proofErr w:type="spellStart"/>
      <w:r w:rsidRPr="00F1245A">
        <w:rPr>
          <w:rFonts w:ascii="Times New Roman" w:eastAsia="Times New Roman" w:hAnsi="Times New Roman" w:cs="Times New Roman"/>
          <w:kern w:val="0"/>
          <w:sz w:val="24"/>
          <w:szCs w:val="24"/>
          <w:lang w:eastAsia="fr-FR"/>
          <w14:ligatures w14:val="none"/>
        </w:rPr>
        <w:t>Fériel</w:t>
      </w:r>
      <w:proofErr w:type="spellEnd"/>
      <w:r w:rsidRPr="00F1245A">
        <w:rPr>
          <w:rFonts w:ascii="Times New Roman" w:eastAsia="Times New Roman" w:hAnsi="Times New Roman" w:cs="Times New Roman"/>
          <w:kern w:val="0"/>
          <w:sz w:val="24"/>
          <w:szCs w:val="24"/>
          <w:lang w:eastAsia="fr-FR"/>
          <w14:ligatures w14:val="none"/>
        </w:rPr>
        <w:t xml:space="preserve"> </w:t>
      </w:r>
      <w:proofErr w:type="gramStart"/>
      <w:r w:rsidRPr="00F1245A">
        <w:rPr>
          <w:rFonts w:ascii="Times New Roman" w:eastAsia="Times New Roman" w:hAnsi="Times New Roman" w:cs="Times New Roman"/>
          <w:kern w:val="0"/>
          <w:sz w:val="24"/>
          <w:szCs w:val="24"/>
          <w:lang w:eastAsia="fr-FR"/>
          <w14:ligatures w14:val="none"/>
        </w:rPr>
        <w:t>Kaddour:</w:t>
      </w:r>
      <w:proofErr w:type="gramEnd"/>
      <w:r w:rsidRPr="00F1245A">
        <w:rPr>
          <w:rFonts w:ascii="Times New Roman" w:eastAsia="Times New Roman" w:hAnsi="Times New Roman" w:cs="Times New Roman"/>
          <w:kern w:val="0"/>
          <w:sz w:val="24"/>
          <w:szCs w:val="24"/>
          <w:lang w:eastAsia="fr-FR"/>
          <w14:ligatures w14:val="none"/>
        </w:rPr>
        <w:t xml:space="preserve"> "Lire et </w:t>
      </w:r>
      <w:proofErr w:type="gramStart"/>
      <w:r w:rsidRPr="00F1245A">
        <w:rPr>
          <w:rFonts w:ascii="Times New Roman" w:eastAsia="Times New Roman" w:hAnsi="Times New Roman" w:cs="Times New Roman"/>
          <w:kern w:val="0"/>
          <w:sz w:val="24"/>
          <w:szCs w:val="24"/>
          <w:lang w:eastAsia="fr-FR"/>
          <w14:ligatures w14:val="none"/>
        </w:rPr>
        <w:t>jouer:</w:t>
      </w:r>
      <w:proofErr w:type="gramEnd"/>
      <w:r w:rsidRPr="00F1245A">
        <w:rPr>
          <w:rFonts w:ascii="Times New Roman" w:eastAsia="Times New Roman" w:hAnsi="Times New Roman" w:cs="Times New Roman"/>
          <w:kern w:val="0"/>
          <w:sz w:val="24"/>
          <w:szCs w:val="24"/>
          <w:lang w:eastAsia="fr-FR"/>
          <w14:ligatures w14:val="none"/>
        </w:rPr>
        <w:t xml:space="preserve"> une herméneutique au piano"</w:t>
      </w:r>
    </w:p>
    <w:p w14:paraId="4E6FFB6E"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p>
    <w:p w14:paraId="5956B4F8" w14:textId="77777777" w:rsidR="00F1245A" w:rsidRPr="00F1245A" w:rsidRDefault="00F1245A" w:rsidP="00F1245A">
      <w:pPr>
        <w:spacing w:after="0" w:line="240" w:lineRule="auto"/>
        <w:rPr>
          <w:rFonts w:ascii="Times New Roman" w:eastAsia="Times New Roman" w:hAnsi="Times New Roman" w:cs="Times New Roman"/>
          <w:b/>
          <w:bCs/>
          <w:i/>
          <w:iCs/>
          <w:kern w:val="0"/>
          <w:sz w:val="24"/>
          <w:szCs w:val="24"/>
          <w:lang w:eastAsia="fr-FR"/>
          <w14:ligatures w14:val="none"/>
        </w:rPr>
      </w:pPr>
      <w:r w:rsidRPr="00F1245A">
        <w:rPr>
          <w:rFonts w:ascii="Times New Roman" w:eastAsia="Times New Roman" w:hAnsi="Times New Roman" w:cs="Times New Roman"/>
          <w:b/>
          <w:bCs/>
          <w:i/>
          <w:iCs/>
          <w:kern w:val="0"/>
          <w:sz w:val="24"/>
          <w:szCs w:val="24"/>
          <w:lang w:eastAsia="fr-FR"/>
          <w14:ligatures w14:val="none"/>
        </w:rPr>
        <w:t xml:space="preserve">Séance du 21 </w:t>
      </w:r>
      <w:proofErr w:type="gramStart"/>
      <w:r w:rsidRPr="00F1245A">
        <w:rPr>
          <w:rFonts w:ascii="Times New Roman" w:eastAsia="Times New Roman" w:hAnsi="Times New Roman" w:cs="Times New Roman"/>
          <w:b/>
          <w:bCs/>
          <w:i/>
          <w:iCs/>
          <w:kern w:val="0"/>
          <w:sz w:val="24"/>
          <w:szCs w:val="24"/>
          <w:lang w:eastAsia="fr-FR"/>
          <w14:ligatures w14:val="none"/>
        </w:rPr>
        <w:t>mai:</w:t>
      </w:r>
      <w:proofErr w:type="gramEnd"/>
    </w:p>
    <w:p w14:paraId="6E697C03" w14:textId="629B75B2"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Daniel Frey, « Lire, comprendre, interpréter un auteur qui se cache. Le cas de Pierre Bayle</w:t>
      </w:r>
      <w:r>
        <w:rPr>
          <w:rFonts w:ascii="Times New Roman" w:eastAsia="Times New Roman" w:hAnsi="Times New Roman" w:cs="Times New Roman"/>
          <w:kern w:val="0"/>
          <w:sz w:val="24"/>
          <w:szCs w:val="24"/>
          <w:lang w:eastAsia="fr-FR"/>
          <w14:ligatures w14:val="none"/>
        </w:rPr>
        <w:t> »</w:t>
      </w:r>
    </w:p>
    <w:p w14:paraId="5FC76AD6" w14:textId="0D38FC90" w:rsid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Constance Armin</w:t>
      </w:r>
      <w:r w:rsidR="006B2C71">
        <w:rPr>
          <w:rFonts w:ascii="Times New Roman" w:eastAsia="Times New Roman" w:hAnsi="Times New Roman" w:cs="Times New Roman"/>
          <w:kern w:val="0"/>
          <w:sz w:val="24"/>
          <w:szCs w:val="24"/>
          <w:lang w:eastAsia="fr-FR"/>
          <w14:ligatures w14:val="none"/>
        </w:rPr>
        <w:t>j</w:t>
      </w:r>
      <w:r w:rsidRPr="00F1245A">
        <w:rPr>
          <w:rFonts w:ascii="Times New Roman" w:eastAsia="Times New Roman" w:hAnsi="Times New Roman" w:cs="Times New Roman"/>
          <w:kern w:val="0"/>
          <w:sz w:val="24"/>
          <w:szCs w:val="24"/>
          <w:lang w:eastAsia="fr-FR"/>
          <w14:ligatures w14:val="none"/>
        </w:rPr>
        <w:t xml:space="preserve">on :    "Herméneutique et critique de la culture islamique chez Nasr </w:t>
      </w:r>
      <w:proofErr w:type="spellStart"/>
      <w:r w:rsidRPr="00F1245A">
        <w:rPr>
          <w:rFonts w:ascii="Times New Roman" w:eastAsia="Times New Roman" w:hAnsi="Times New Roman" w:cs="Times New Roman"/>
          <w:kern w:val="0"/>
          <w:sz w:val="24"/>
          <w:szCs w:val="24"/>
          <w:lang w:eastAsia="fr-FR"/>
          <w14:ligatures w14:val="none"/>
        </w:rPr>
        <w:t>Hâmid</w:t>
      </w:r>
      <w:proofErr w:type="spellEnd"/>
      <w:r w:rsidRPr="00F1245A">
        <w:rPr>
          <w:rFonts w:ascii="Times New Roman" w:eastAsia="Times New Roman" w:hAnsi="Times New Roman" w:cs="Times New Roman"/>
          <w:kern w:val="0"/>
          <w:sz w:val="24"/>
          <w:szCs w:val="24"/>
          <w:lang w:eastAsia="fr-FR"/>
          <w14:ligatures w14:val="none"/>
        </w:rPr>
        <w:t xml:space="preserve"> Abû Zayd"  </w:t>
      </w:r>
    </w:p>
    <w:p w14:paraId="54BE1463"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p>
    <w:p w14:paraId="005A7561" w14:textId="77777777" w:rsidR="00F1245A" w:rsidRPr="00F1245A" w:rsidRDefault="00F1245A" w:rsidP="00F1245A">
      <w:pPr>
        <w:spacing w:after="0" w:line="240" w:lineRule="auto"/>
        <w:rPr>
          <w:rFonts w:ascii="Times New Roman" w:eastAsia="Times New Roman" w:hAnsi="Times New Roman" w:cs="Times New Roman"/>
          <w:b/>
          <w:bCs/>
          <w:i/>
          <w:iCs/>
          <w:kern w:val="0"/>
          <w:sz w:val="24"/>
          <w:szCs w:val="24"/>
          <w:lang w:eastAsia="fr-FR"/>
          <w14:ligatures w14:val="none"/>
        </w:rPr>
      </w:pPr>
      <w:r w:rsidRPr="00F1245A">
        <w:rPr>
          <w:rFonts w:ascii="Times New Roman" w:eastAsia="Times New Roman" w:hAnsi="Times New Roman" w:cs="Times New Roman"/>
          <w:b/>
          <w:bCs/>
          <w:i/>
          <w:iCs/>
          <w:kern w:val="0"/>
          <w:sz w:val="24"/>
          <w:szCs w:val="24"/>
          <w:lang w:eastAsia="fr-FR"/>
          <w14:ligatures w14:val="none"/>
        </w:rPr>
        <w:t xml:space="preserve">Séance du 18 juin : </w:t>
      </w:r>
    </w:p>
    <w:p w14:paraId="57819C7E" w14:textId="155342D4"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Christian Berner, "La critique comme interprétation"</w:t>
      </w:r>
    </w:p>
    <w:p w14:paraId="225D6AFD" w14:textId="77777777" w:rsidR="00F1245A" w:rsidRPr="00F1245A" w:rsidRDefault="00F1245A" w:rsidP="00F1245A">
      <w:pPr>
        <w:spacing w:after="0" w:line="240" w:lineRule="auto"/>
        <w:rPr>
          <w:rFonts w:ascii="Times New Roman" w:eastAsia="Times New Roman" w:hAnsi="Times New Roman" w:cs="Times New Roman"/>
          <w:kern w:val="0"/>
          <w:sz w:val="24"/>
          <w:szCs w:val="24"/>
          <w:lang w:eastAsia="fr-FR"/>
          <w14:ligatures w14:val="none"/>
        </w:rPr>
      </w:pPr>
      <w:r w:rsidRPr="00F1245A">
        <w:rPr>
          <w:rFonts w:ascii="Times New Roman" w:eastAsia="Times New Roman" w:hAnsi="Times New Roman" w:cs="Times New Roman"/>
          <w:kern w:val="0"/>
          <w:sz w:val="24"/>
          <w:szCs w:val="24"/>
          <w:lang w:eastAsia="fr-FR"/>
          <w14:ligatures w14:val="none"/>
        </w:rPr>
        <w:t>-</w:t>
      </w:r>
      <w:r w:rsidRPr="00F1245A">
        <w:rPr>
          <w:rFonts w:ascii="Times New Roman" w:eastAsia="Times New Roman" w:hAnsi="Times New Roman" w:cs="Times New Roman"/>
          <w:kern w:val="0"/>
          <w:sz w:val="14"/>
          <w:szCs w:val="14"/>
          <w:lang w:eastAsia="fr-FR"/>
          <w14:ligatures w14:val="none"/>
        </w:rPr>
        <w:t xml:space="preserve">        </w:t>
      </w:r>
      <w:r w:rsidRPr="00F1245A">
        <w:rPr>
          <w:rFonts w:ascii="Times New Roman" w:eastAsia="Times New Roman" w:hAnsi="Times New Roman" w:cs="Times New Roman"/>
          <w:kern w:val="0"/>
          <w:sz w:val="24"/>
          <w:szCs w:val="24"/>
          <w:lang w:eastAsia="fr-FR"/>
          <w14:ligatures w14:val="none"/>
        </w:rPr>
        <w:t>Emmanuel Levine : "Enrique Dussel : de l'anthropologie herméneutique à l'herméneutique décoloniale".</w:t>
      </w:r>
    </w:p>
    <w:p w14:paraId="3459B7AE" w14:textId="77777777" w:rsidR="009B4F4A" w:rsidRDefault="009B4F4A"/>
    <w:sectPr w:rsidR="009B4F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E31"/>
    <w:rsid w:val="00110F40"/>
    <w:rsid w:val="0012682A"/>
    <w:rsid w:val="001F2610"/>
    <w:rsid w:val="00343B49"/>
    <w:rsid w:val="00473F83"/>
    <w:rsid w:val="004B343E"/>
    <w:rsid w:val="005A08E7"/>
    <w:rsid w:val="006B2C71"/>
    <w:rsid w:val="007E7630"/>
    <w:rsid w:val="009B4F4A"/>
    <w:rsid w:val="00BC0F0F"/>
    <w:rsid w:val="00BD05EF"/>
    <w:rsid w:val="00C030FF"/>
    <w:rsid w:val="00CA60EF"/>
    <w:rsid w:val="00CC51FD"/>
    <w:rsid w:val="00E71E31"/>
    <w:rsid w:val="00F1245A"/>
    <w:rsid w:val="00F61D1A"/>
    <w:rsid w:val="00FB29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C3ED"/>
  <w15:chartTrackingRefBased/>
  <w15:docId w15:val="{2DA29716-1183-452E-86F6-A0C99DD0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71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71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71E3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71E3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71E3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71E3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71E3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71E3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71E3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rsid w:val="00FB29EE"/>
    <w:pPr>
      <w:autoSpaceDN w:val="0"/>
      <w:spacing w:after="0" w:line="240" w:lineRule="auto"/>
      <w:jc w:val="both"/>
      <w:textAlignment w:val="baseline"/>
    </w:pPr>
    <w:rPr>
      <w:rFonts w:ascii="Calibri" w:eastAsia="Calibri" w:hAnsi="Calibri" w:cs="Arial"/>
      <w:kern w:val="0"/>
      <w:sz w:val="20"/>
      <w:szCs w:val="20"/>
      <w:lang w:val="de-DE"/>
      <w14:ligatures w14:val="none"/>
    </w:rPr>
  </w:style>
  <w:style w:type="character" w:customStyle="1" w:styleId="NotedebasdepageCar">
    <w:name w:val="Note de bas de page Car"/>
    <w:basedOn w:val="Policepardfaut"/>
    <w:link w:val="Notedebasdepage"/>
    <w:rsid w:val="00FB29EE"/>
    <w:rPr>
      <w:rFonts w:ascii="Calibri" w:eastAsia="Calibri" w:hAnsi="Calibri" w:cs="Arial"/>
      <w:kern w:val="0"/>
      <w:sz w:val="20"/>
      <w:szCs w:val="20"/>
      <w:lang w:val="de-DE"/>
      <w14:ligatures w14:val="none"/>
    </w:rPr>
  </w:style>
  <w:style w:type="character" w:customStyle="1" w:styleId="Titre1Car">
    <w:name w:val="Titre 1 Car"/>
    <w:basedOn w:val="Policepardfaut"/>
    <w:link w:val="Titre1"/>
    <w:uiPriority w:val="9"/>
    <w:rsid w:val="00E71E3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71E3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71E3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71E3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71E3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71E3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71E3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71E3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71E31"/>
    <w:rPr>
      <w:rFonts w:eastAsiaTheme="majorEastAsia" w:cstheme="majorBidi"/>
      <w:color w:val="272727" w:themeColor="text1" w:themeTint="D8"/>
    </w:rPr>
  </w:style>
  <w:style w:type="paragraph" w:styleId="Titre">
    <w:name w:val="Title"/>
    <w:basedOn w:val="Normal"/>
    <w:next w:val="Normal"/>
    <w:link w:val="TitreCar"/>
    <w:uiPriority w:val="10"/>
    <w:qFormat/>
    <w:rsid w:val="00E71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1E3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1E3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71E3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71E31"/>
    <w:pPr>
      <w:spacing w:before="160"/>
      <w:jc w:val="center"/>
    </w:pPr>
    <w:rPr>
      <w:i/>
      <w:iCs/>
      <w:color w:val="404040" w:themeColor="text1" w:themeTint="BF"/>
    </w:rPr>
  </w:style>
  <w:style w:type="character" w:customStyle="1" w:styleId="CitationCar">
    <w:name w:val="Citation Car"/>
    <w:basedOn w:val="Policepardfaut"/>
    <w:link w:val="Citation"/>
    <w:uiPriority w:val="29"/>
    <w:rsid w:val="00E71E31"/>
    <w:rPr>
      <w:i/>
      <w:iCs/>
      <w:color w:val="404040" w:themeColor="text1" w:themeTint="BF"/>
    </w:rPr>
  </w:style>
  <w:style w:type="paragraph" w:styleId="Paragraphedeliste">
    <w:name w:val="List Paragraph"/>
    <w:basedOn w:val="Normal"/>
    <w:uiPriority w:val="34"/>
    <w:qFormat/>
    <w:rsid w:val="00E71E31"/>
    <w:pPr>
      <w:ind w:left="720"/>
      <w:contextualSpacing/>
    </w:pPr>
  </w:style>
  <w:style w:type="character" w:styleId="Accentuationintense">
    <w:name w:val="Intense Emphasis"/>
    <w:basedOn w:val="Policepardfaut"/>
    <w:uiPriority w:val="21"/>
    <w:qFormat/>
    <w:rsid w:val="00E71E31"/>
    <w:rPr>
      <w:i/>
      <w:iCs/>
      <w:color w:val="0F4761" w:themeColor="accent1" w:themeShade="BF"/>
    </w:rPr>
  </w:style>
  <w:style w:type="paragraph" w:styleId="Citationintense">
    <w:name w:val="Intense Quote"/>
    <w:basedOn w:val="Normal"/>
    <w:next w:val="Normal"/>
    <w:link w:val="CitationintenseCar"/>
    <w:uiPriority w:val="30"/>
    <w:qFormat/>
    <w:rsid w:val="00E71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71E31"/>
    <w:rPr>
      <w:i/>
      <w:iCs/>
      <w:color w:val="0F4761" w:themeColor="accent1" w:themeShade="BF"/>
    </w:rPr>
  </w:style>
  <w:style w:type="character" w:styleId="Rfrenceintense">
    <w:name w:val="Intense Reference"/>
    <w:basedOn w:val="Policepardfaut"/>
    <w:uiPriority w:val="32"/>
    <w:qFormat/>
    <w:rsid w:val="00E71E31"/>
    <w:rPr>
      <w:b/>
      <w:bCs/>
      <w:smallCaps/>
      <w:color w:val="0F4761" w:themeColor="accent1" w:themeShade="BF"/>
      <w:spacing w:val="5"/>
    </w:rPr>
  </w:style>
  <w:style w:type="character" w:styleId="Lienhypertexte">
    <w:name w:val="Hyperlink"/>
    <w:basedOn w:val="Policepardfaut"/>
    <w:uiPriority w:val="99"/>
    <w:unhideWhenUsed/>
    <w:rsid w:val="00CA60EF"/>
    <w:rPr>
      <w:color w:val="467886" w:themeColor="hyperlink"/>
      <w:u w:val="single"/>
    </w:rPr>
  </w:style>
  <w:style w:type="character" w:styleId="Mentionnonrsolue">
    <w:name w:val="Unresolved Mention"/>
    <w:basedOn w:val="Policepardfaut"/>
    <w:uiPriority w:val="99"/>
    <w:semiHidden/>
    <w:unhideWhenUsed/>
    <w:rsid w:val="00CA60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niv-poitiers.webex.com/meet/johann.miche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640</Words>
  <Characters>3523</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XY</dc:creator>
  <cp:keywords/>
  <dc:description/>
  <cp:lastModifiedBy>XY</cp:lastModifiedBy>
  <cp:revision>8</cp:revision>
  <dcterms:created xsi:type="dcterms:W3CDTF">2026-07-03T05:54:00Z</dcterms:created>
  <dcterms:modified xsi:type="dcterms:W3CDTF">2026-10-02T06:51:00Z</dcterms:modified>
</cp:coreProperties>
</file>